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F1" w:rsidRDefault="002E52F1" w:rsidP="00866868">
      <w:pPr>
        <w:jc w:val="center"/>
        <w:rPr>
          <w:rFonts w:cstheme="minorHAnsi"/>
          <w:b/>
          <w:sz w:val="26"/>
          <w:szCs w:val="26"/>
          <w:lang w:val="hu-HU"/>
        </w:rPr>
      </w:pPr>
    </w:p>
    <w:p w:rsidR="00BF3995" w:rsidRPr="002E52F1" w:rsidRDefault="00BF3995" w:rsidP="00866868">
      <w:pPr>
        <w:jc w:val="center"/>
        <w:rPr>
          <w:rFonts w:cstheme="minorHAnsi"/>
          <w:b/>
          <w:sz w:val="26"/>
          <w:szCs w:val="26"/>
          <w:lang w:val="hu-HU"/>
        </w:rPr>
      </w:pPr>
      <w:r w:rsidRPr="002E52F1">
        <w:rPr>
          <w:rFonts w:cstheme="minorHAnsi"/>
          <w:b/>
          <w:sz w:val="26"/>
          <w:szCs w:val="26"/>
          <w:lang w:val="hu-HU"/>
        </w:rPr>
        <w:t>Egyetemi Technológia- és Tudástranszfer Fórum</w:t>
      </w:r>
      <w:r w:rsidR="002E52F1">
        <w:rPr>
          <w:rFonts w:cstheme="minorHAnsi"/>
          <w:b/>
          <w:sz w:val="26"/>
          <w:szCs w:val="26"/>
          <w:lang w:val="hu-HU"/>
        </w:rPr>
        <w:t xml:space="preserve"> </w:t>
      </w:r>
      <w:r w:rsidRPr="002E52F1">
        <w:rPr>
          <w:rFonts w:cstheme="minorHAnsi"/>
          <w:b/>
          <w:sz w:val="26"/>
          <w:szCs w:val="26"/>
          <w:lang w:val="hu-HU"/>
        </w:rPr>
        <w:t>(ETTF)</w:t>
      </w:r>
    </w:p>
    <w:p w:rsidR="002E52F1" w:rsidRDefault="002E52F1" w:rsidP="00866868">
      <w:pPr>
        <w:jc w:val="center"/>
        <w:rPr>
          <w:rFonts w:cstheme="minorHAnsi"/>
          <w:b/>
          <w:sz w:val="26"/>
          <w:szCs w:val="26"/>
          <w:lang w:val="hu-HU"/>
        </w:rPr>
      </w:pPr>
    </w:p>
    <w:p w:rsidR="00866868" w:rsidRPr="002E52F1" w:rsidRDefault="00866868" w:rsidP="00866868">
      <w:pPr>
        <w:jc w:val="center"/>
        <w:rPr>
          <w:rFonts w:cstheme="minorHAnsi"/>
          <w:b/>
          <w:sz w:val="26"/>
          <w:szCs w:val="26"/>
          <w:lang w:val="hu-HU"/>
        </w:rPr>
      </w:pPr>
      <w:bookmarkStart w:id="0" w:name="_GoBack"/>
      <w:bookmarkEnd w:id="0"/>
      <w:r w:rsidRPr="002E52F1">
        <w:rPr>
          <w:rFonts w:cstheme="minorHAnsi"/>
          <w:b/>
          <w:sz w:val="26"/>
          <w:szCs w:val="26"/>
          <w:lang w:val="hu-HU"/>
        </w:rPr>
        <w:t xml:space="preserve">Szakmai </w:t>
      </w:r>
      <w:r w:rsidR="00BF3995" w:rsidRPr="002E52F1">
        <w:rPr>
          <w:rFonts w:cstheme="minorHAnsi"/>
          <w:b/>
          <w:sz w:val="26"/>
          <w:szCs w:val="26"/>
          <w:lang w:val="hu-HU"/>
        </w:rPr>
        <w:t>javaslatok</w:t>
      </w:r>
    </w:p>
    <w:p w:rsidR="00866868" w:rsidRPr="002E52F1" w:rsidRDefault="00866868" w:rsidP="00866868">
      <w:pPr>
        <w:jc w:val="center"/>
        <w:rPr>
          <w:rFonts w:cstheme="minorHAnsi"/>
          <w:i/>
          <w:sz w:val="24"/>
          <w:szCs w:val="24"/>
          <w:lang w:val="hu-HU"/>
        </w:rPr>
      </w:pPr>
      <w:proofErr w:type="gramStart"/>
      <w:r w:rsidRPr="002E52F1">
        <w:rPr>
          <w:rFonts w:cstheme="minorHAnsi"/>
          <w:i/>
          <w:sz w:val="24"/>
          <w:szCs w:val="24"/>
          <w:lang w:val="hu-HU"/>
        </w:rPr>
        <w:t>a</w:t>
      </w:r>
      <w:proofErr w:type="gramEnd"/>
      <w:r w:rsidRPr="002E52F1">
        <w:rPr>
          <w:rFonts w:cstheme="minorHAnsi"/>
          <w:i/>
          <w:sz w:val="24"/>
          <w:szCs w:val="24"/>
          <w:lang w:val="hu-HU"/>
        </w:rPr>
        <w:t xml:space="preserve"> hazai felsőoktatási intézményeket érintő kutatáshasznosítás</w:t>
      </w:r>
      <w:r w:rsidR="0067420D" w:rsidRPr="002E52F1">
        <w:rPr>
          <w:rFonts w:cstheme="minorHAnsi"/>
          <w:i/>
          <w:sz w:val="24"/>
          <w:szCs w:val="24"/>
          <w:lang w:val="hu-HU"/>
        </w:rPr>
        <w:t>i</w:t>
      </w:r>
      <w:r w:rsidR="00BF3995" w:rsidRPr="002E52F1">
        <w:rPr>
          <w:rFonts w:cstheme="minorHAnsi"/>
          <w:i/>
          <w:sz w:val="24"/>
          <w:szCs w:val="24"/>
          <w:lang w:val="hu-HU"/>
        </w:rPr>
        <w:t xml:space="preserve"> és technológia</w:t>
      </w:r>
      <w:r w:rsidRPr="002E52F1">
        <w:rPr>
          <w:rFonts w:cstheme="minorHAnsi"/>
          <w:i/>
          <w:sz w:val="24"/>
          <w:szCs w:val="24"/>
          <w:lang w:val="hu-HU"/>
        </w:rPr>
        <w:t xml:space="preserve">transzfer </w:t>
      </w:r>
      <w:r w:rsidR="0067420D" w:rsidRPr="002E52F1">
        <w:rPr>
          <w:rFonts w:cstheme="minorHAnsi"/>
          <w:i/>
          <w:sz w:val="24"/>
          <w:szCs w:val="24"/>
          <w:lang w:val="hu-HU"/>
        </w:rPr>
        <w:t xml:space="preserve">környezet </w:t>
      </w:r>
      <w:r w:rsidRPr="002E52F1">
        <w:rPr>
          <w:rFonts w:cstheme="minorHAnsi"/>
          <w:i/>
          <w:sz w:val="24"/>
          <w:szCs w:val="24"/>
          <w:lang w:val="hu-HU"/>
        </w:rPr>
        <w:t>módosítására</w:t>
      </w:r>
      <w:r w:rsidR="0067420D" w:rsidRPr="002E52F1">
        <w:rPr>
          <w:rFonts w:cstheme="minorHAnsi"/>
          <w:i/>
          <w:sz w:val="24"/>
          <w:szCs w:val="24"/>
          <w:lang w:val="hu-HU"/>
        </w:rPr>
        <w:t>, fejlesztésére</w:t>
      </w:r>
    </w:p>
    <w:p w:rsidR="00866868" w:rsidRDefault="00866868" w:rsidP="00866868">
      <w:pPr>
        <w:jc w:val="center"/>
        <w:rPr>
          <w:rFonts w:cstheme="minorHAnsi"/>
          <w:i/>
          <w:lang w:val="hu-HU"/>
        </w:rPr>
      </w:pPr>
    </w:p>
    <w:p w:rsidR="000A5672" w:rsidRPr="002E52F1" w:rsidRDefault="000A5672" w:rsidP="000A5672">
      <w:pPr>
        <w:jc w:val="both"/>
        <w:rPr>
          <w:rFonts w:ascii="Calibri" w:eastAsia="Calibri" w:hAnsi="Calibri" w:cs="Times New Roman"/>
          <w:i/>
          <w:sz w:val="24"/>
          <w:lang w:val="hu-HU"/>
        </w:rPr>
      </w:pPr>
      <w:r w:rsidRPr="002E52F1">
        <w:rPr>
          <w:rFonts w:ascii="Calibri" w:eastAsia="Calibri" w:hAnsi="Calibri" w:cs="Times New Roman"/>
          <w:i/>
          <w:sz w:val="24"/>
          <w:lang w:val="hu-HU"/>
        </w:rPr>
        <w:t>Szabályozási környezet</w:t>
      </w:r>
    </w:p>
    <w:p w:rsidR="000A5672" w:rsidRPr="002E52F1" w:rsidRDefault="000A5672" w:rsidP="000A5672">
      <w:pPr>
        <w:numPr>
          <w:ilvl w:val="0"/>
          <w:numId w:val="1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>A tudományos kutatásról, fejlesztésről és innovációról szóló 2014. évi LXXVI. törvény (a továbbiakban: KFI törvény) szabályozása alapján a központi költségvetési szervnek minősülő kutatóhelynél keletkező szellemi alkotásokhoz fűződő jogok az államot illetik meg azzal, hogy a tulajdonosi jogokat az érintett kutatóhely gyakorolja.</w:t>
      </w:r>
      <w:r w:rsidR="00BF3995" w:rsidRPr="002E52F1">
        <w:rPr>
          <w:rFonts w:ascii="Calibri" w:eastAsia="Times New Roman" w:hAnsi="Calibri" w:cs="Times New Roman"/>
          <w:lang w:val="hu-HU"/>
        </w:rPr>
        <w:t xml:space="preserve"> M</w:t>
      </w:r>
      <w:r w:rsidRPr="002E52F1">
        <w:rPr>
          <w:rFonts w:ascii="Calibri" w:eastAsia="Times New Roman" w:hAnsi="Calibri" w:cs="Times New Roman"/>
          <w:lang w:val="hu-HU"/>
        </w:rPr>
        <w:t xml:space="preserve">eggyőződésünk szerint a hatékony kutatáshasznosítási tevékenység alapfeltétele, hogy – a nemzetközi gyakorlattal és az európai uniós ajánlásokkal összhangban, illetve a 2014-ig fennálló hazai szabályozással összhangban – az egyetemeken és kutatóintézetekben keletkezett szellemi alkotások feletti rendelkezési jog az adott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kutatóhelyet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illesse. Ebből kifolyólag javasoljuk, hogy a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közfinanszírozású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kutatóhelyek kapjanak </w:t>
      </w:r>
      <w:r w:rsidRPr="002E52F1">
        <w:rPr>
          <w:rFonts w:ascii="Calibri" w:eastAsia="Times New Roman" w:hAnsi="Calibri" w:cs="Times New Roman"/>
          <w:b/>
          <w:lang w:val="hu-HU"/>
        </w:rPr>
        <w:t xml:space="preserve">korlátozásoktól mentes rendelkezési jogot </w:t>
      </w:r>
      <w:r w:rsidRPr="002E52F1">
        <w:rPr>
          <w:rFonts w:ascii="Calibri" w:eastAsia="Times New Roman" w:hAnsi="Calibri" w:cs="Times New Roman"/>
          <w:lang w:val="hu-HU"/>
        </w:rPr>
        <w:t xml:space="preserve">a szellemi alkotásokhoz kapcsolódó vagyoni jogok tekintetében. Ezzel egy lépésben megszüntethető a törvényi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anomália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a KFI törvény, a Polgári Törvénykönyv kutatási szerződésekre vonatkozó rendelkezései, illetve az iparjogvédelmi és szerzői jogi törvényeknek a szellemi tulajdon átszállása tekintetében meghatározott rendelkezései között.</w:t>
      </w:r>
    </w:p>
    <w:p w:rsidR="000A5672" w:rsidRPr="002E52F1" w:rsidRDefault="000A5672" w:rsidP="000A5672">
      <w:pPr>
        <w:spacing w:before="100" w:after="200"/>
        <w:ind w:left="284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Pr="002E52F1" w:rsidRDefault="000A5672" w:rsidP="000A5672">
      <w:pPr>
        <w:numPr>
          <w:ilvl w:val="0"/>
          <w:numId w:val="1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A </w:t>
      </w:r>
      <w:r w:rsidRPr="002E52F1">
        <w:rPr>
          <w:rFonts w:ascii="Calibri" w:eastAsia="Times New Roman" w:hAnsi="Calibri" w:cs="Times New Roman"/>
          <w:b/>
          <w:lang w:val="hu-HU"/>
        </w:rPr>
        <w:t>hasznosító vállalkozás fogalma</w:t>
      </w:r>
      <w:r w:rsidRPr="002E52F1">
        <w:rPr>
          <w:rFonts w:ascii="Calibri" w:eastAsia="Times New Roman" w:hAnsi="Calibri" w:cs="Times New Roman"/>
          <w:lang w:val="hu-HU"/>
        </w:rPr>
        <w:t xml:space="preserve"> a hazai szabályozásban is kerüljön összhangba a nemzetközi viszonylatban is széles körben elfogadott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definícióval</w:t>
      </w:r>
      <w:proofErr w:type="gramEnd"/>
      <w:r w:rsidRPr="002E52F1">
        <w:rPr>
          <w:rFonts w:ascii="Calibri" w:eastAsia="Times New Roman" w:hAnsi="Calibri" w:cs="Times New Roman"/>
          <w:lang w:val="hu-HU"/>
        </w:rPr>
        <w:t>, mely kiküszöböli a KFI törvény jelenleg hatályos értelmezéséből eredő korlátozásokat, mint például a kutatóhelyek kötelező részvétele a társaság működésében. Egy ilyen új, korszerű megfogalmazás szerint hasznosító (spin-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off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) vállalkozásnak minősül a költségvetési kutatóhelyen létrejött szellemi alkotás üzleti hasznosítása céljából alapított gazdasági társaság, mely licenciaszerződés vagy átruházási szerződés (ideértve az apportot) útján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szerzi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meg a szellemi alkotás hasznosításának jogát.</w:t>
      </w:r>
    </w:p>
    <w:p w:rsidR="000A5672" w:rsidRPr="002E52F1" w:rsidRDefault="000A5672" w:rsidP="000A5672">
      <w:pPr>
        <w:spacing w:before="100" w:after="200"/>
        <w:ind w:left="720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Pr="002E52F1" w:rsidRDefault="000A5672" w:rsidP="000A5672">
      <w:pPr>
        <w:numPr>
          <w:ilvl w:val="0"/>
          <w:numId w:val="1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>A hasznosító vállalkozásban a kutatóhely által megszerzett részesedés jelenleg állami tulajdonnak minősül, melynek kapcsán a költségvetési k</w:t>
      </w:r>
      <w:r w:rsidR="006553DD" w:rsidRPr="002E52F1">
        <w:rPr>
          <w:rFonts w:ascii="Calibri" w:eastAsia="Times New Roman" w:hAnsi="Calibri" w:cs="Times New Roman"/>
          <w:lang w:val="hu-HU"/>
        </w:rPr>
        <w:t xml:space="preserve">utatóhely gyakorolja a társasági részesedés </w:t>
      </w:r>
      <w:r w:rsidRPr="002E52F1">
        <w:rPr>
          <w:rFonts w:ascii="Calibri" w:eastAsia="Times New Roman" w:hAnsi="Calibri" w:cs="Times New Roman"/>
          <w:lang w:val="hu-HU"/>
        </w:rPr>
        <w:t xml:space="preserve">felett a tulajdonosi jogokat és kötelezettségeket. A hatékony és gyors döntéshozatal kritikusnak számít </w:t>
      </w:r>
      <w:r w:rsidR="00BF3995" w:rsidRPr="002E52F1">
        <w:rPr>
          <w:rFonts w:ascii="Calibri" w:eastAsia="Times New Roman" w:hAnsi="Calibri" w:cs="Times New Roman"/>
          <w:lang w:val="hu-HU"/>
        </w:rPr>
        <w:t>a</w:t>
      </w:r>
      <w:r w:rsidRPr="002E52F1">
        <w:rPr>
          <w:rFonts w:ascii="Calibri" w:eastAsia="Times New Roman" w:hAnsi="Calibri" w:cs="Times New Roman"/>
          <w:lang w:val="hu-HU"/>
        </w:rPr>
        <w:t xml:space="preserve"> korai fázisú vállalkozások életében, ezért a vállalkozói kedv növelése és a kutatóhelyek környezetébe érkező befektetések ösztönzése érdekében célszerűnek látjuk a </w:t>
      </w:r>
      <w:r w:rsidRPr="002E52F1">
        <w:rPr>
          <w:rFonts w:ascii="Calibri" w:eastAsia="Times New Roman" w:hAnsi="Calibri" w:cs="Times New Roman"/>
          <w:b/>
          <w:lang w:val="hu-HU"/>
        </w:rPr>
        <w:t>hasznosító vállalkozásban szerzett társasági részesedés intézményi tulajdonba adását</w:t>
      </w:r>
      <w:r w:rsidRPr="002E52F1">
        <w:rPr>
          <w:rFonts w:ascii="Calibri" w:eastAsia="Times New Roman" w:hAnsi="Calibri" w:cs="Times New Roman"/>
          <w:lang w:val="hu-HU"/>
        </w:rPr>
        <w:t>.</w:t>
      </w:r>
    </w:p>
    <w:p w:rsidR="000A5672" w:rsidRPr="002E52F1" w:rsidRDefault="000A5672" w:rsidP="000A5672">
      <w:pPr>
        <w:spacing w:before="100" w:after="200"/>
        <w:ind w:left="284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Pr="002E52F1" w:rsidRDefault="000A5672" w:rsidP="000A5672">
      <w:pPr>
        <w:numPr>
          <w:ilvl w:val="0"/>
          <w:numId w:val="1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A felsőoktatási törvény szerinti </w:t>
      </w:r>
      <w:r w:rsidRPr="002E52F1">
        <w:rPr>
          <w:rFonts w:ascii="Calibri" w:eastAsia="Times New Roman" w:hAnsi="Calibri" w:cs="Times New Roman"/>
          <w:b/>
          <w:lang w:val="hu-HU"/>
        </w:rPr>
        <w:t>intézményi társaság</w:t>
      </w:r>
      <w:r w:rsidRPr="002E52F1">
        <w:rPr>
          <w:rFonts w:ascii="Calibri" w:eastAsia="Times New Roman" w:hAnsi="Calibri" w:cs="Times New Roman"/>
          <w:lang w:val="hu-HU"/>
        </w:rPr>
        <w:t xml:space="preserve"> és a KFI törvény szerinti </w:t>
      </w:r>
      <w:r w:rsidRPr="002E52F1">
        <w:rPr>
          <w:rFonts w:ascii="Calibri" w:eastAsia="Times New Roman" w:hAnsi="Calibri" w:cs="Times New Roman"/>
          <w:b/>
          <w:lang w:val="hu-HU"/>
        </w:rPr>
        <w:t>hasznosító vállalkozás</w:t>
      </w:r>
      <w:r w:rsidRPr="002E52F1">
        <w:rPr>
          <w:rFonts w:ascii="Calibri" w:eastAsia="Times New Roman" w:hAnsi="Calibri" w:cs="Times New Roman"/>
          <w:lang w:val="hu-HU"/>
        </w:rPr>
        <w:t xml:space="preserve"> egymáshoz való viszonyát szükségesnek tartjuk jogszabályi szinten tisztázni. Javasoljuk, hogy a felsőoktatási intézmények által alapított hasznosító vállalkozás minden tekintetben minősüljön </w:t>
      </w:r>
      <w:r w:rsidRPr="002E52F1">
        <w:rPr>
          <w:rFonts w:ascii="Calibri" w:eastAsia="Times New Roman" w:hAnsi="Calibri" w:cs="Times New Roman"/>
          <w:lang w:val="hu-HU"/>
        </w:rPr>
        <w:lastRenderedPageBreak/>
        <w:t>intézményi társaságnak és legyen egyértelműen rögzítve, hogy hasznosító vállalkozásban szerzett társasági részesedés – az intézményi vállalkozások tekintetében meghatározott kivételi szabályt alkalmazva – ne minősüljön állami vagyonnak.</w:t>
      </w:r>
    </w:p>
    <w:p w:rsidR="000A5672" w:rsidRPr="002E52F1" w:rsidRDefault="000A5672" w:rsidP="000A5672">
      <w:pPr>
        <w:spacing w:before="100" w:after="200"/>
        <w:ind w:left="720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Pr="002E52F1" w:rsidRDefault="000A5672" w:rsidP="000A5672">
      <w:pPr>
        <w:numPr>
          <w:ilvl w:val="0"/>
          <w:numId w:val="1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A kutatási eredmények gazdasági hasznosításának előmozdítása céljából indokoltnak tűnik, hogy minden közalkalmazotti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státuszban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álló kutató közreműködhessen hasznosító vállalkozások alapításában és tevékenységében. Ezért célszerűnek látjuk az erre vonatkozó </w:t>
      </w:r>
      <w:r w:rsidRPr="002E52F1">
        <w:rPr>
          <w:rFonts w:ascii="Calibri" w:eastAsia="Times New Roman" w:hAnsi="Calibri" w:cs="Times New Roman"/>
          <w:b/>
          <w:lang w:val="hu-HU"/>
        </w:rPr>
        <w:t>összeférhetetlenségi szabályok harmonizálását</w:t>
      </w:r>
      <w:r w:rsidRPr="002E52F1">
        <w:rPr>
          <w:rFonts w:ascii="Calibri" w:eastAsia="Times New Roman" w:hAnsi="Calibri" w:cs="Times New Roman"/>
          <w:lang w:val="hu-HU"/>
        </w:rPr>
        <w:t xml:space="preserve"> és javasoljuk, hogy az intézmények kötelezően rendelkezzenek összeférhetetlenségi szabályzattal (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Conflict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of interest policy).</w:t>
      </w:r>
    </w:p>
    <w:p w:rsidR="0067420D" w:rsidRPr="002E52F1" w:rsidRDefault="0067420D" w:rsidP="0067420D">
      <w:pPr>
        <w:spacing w:before="100" w:after="200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Pr="002E52F1" w:rsidRDefault="000A5672" w:rsidP="000A5672">
      <w:pPr>
        <w:spacing w:before="100" w:after="200"/>
        <w:ind w:left="720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Pr="002E52F1" w:rsidRDefault="00F97A6D" w:rsidP="000A5672">
      <w:pPr>
        <w:jc w:val="both"/>
        <w:rPr>
          <w:rFonts w:ascii="Calibri" w:eastAsia="Calibri" w:hAnsi="Calibri" w:cs="Times New Roman"/>
          <w:i/>
          <w:sz w:val="24"/>
          <w:lang w:val="hu-HU"/>
        </w:rPr>
      </w:pPr>
      <w:r w:rsidRPr="002E52F1">
        <w:rPr>
          <w:rFonts w:ascii="Calibri" w:eastAsia="Calibri" w:hAnsi="Calibri" w:cs="Times New Roman"/>
          <w:i/>
          <w:sz w:val="24"/>
          <w:lang w:val="hu-HU"/>
        </w:rPr>
        <w:t>T</w:t>
      </w:r>
      <w:r w:rsidR="000A5672" w:rsidRPr="002E52F1">
        <w:rPr>
          <w:rFonts w:ascii="Calibri" w:eastAsia="Calibri" w:hAnsi="Calibri" w:cs="Times New Roman"/>
          <w:i/>
          <w:sz w:val="24"/>
          <w:lang w:val="hu-HU"/>
        </w:rPr>
        <w:t>ámogató eszközök</w:t>
      </w:r>
    </w:p>
    <w:p w:rsidR="000A5672" w:rsidRPr="002E52F1" w:rsidRDefault="000A5672" w:rsidP="000A5672">
      <w:pPr>
        <w:numPr>
          <w:ilvl w:val="0"/>
          <w:numId w:val="2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A technológiatranszfer szervezeteknek </w:t>
      </w:r>
      <w:r w:rsidRPr="002E52F1">
        <w:rPr>
          <w:rFonts w:ascii="Calibri" w:eastAsia="Times New Roman" w:hAnsi="Calibri" w:cs="Times New Roman"/>
          <w:b/>
          <w:lang w:val="hu-HU"/>
        </w:rPr>
        <w:t xml:space="preserve">kiszámítható, hosszú távú </w:t>
      </w:r>
      <w:proofErr w:type="gramStart"/>
      <w:r w:rsidRPr="002E52F1">
        <w:rPr>
          <w:rFonts w:ascii="Calibri" w:eastAsia="Times New Roman" w:hAnsi="Calibri" w:cs="Times New Roman"/>
          <w:b/>
          <w:lang w:val="hu-HU"/>
        </w:rPr>
        <w:t>finanszírozásra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van szükségük a szakmai kompetenciáik és kialakított kapcsolatrendszerük megtartása érdekében. Az elmúlt években tapasztalt ciklikus pályázati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finanszírozás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kedvezőtlenül hatott a technológiatranszfer irodák működésére: az egyes pályázati konstrukciók között jelentkező finanszírozási hiány és a jelentős mértékű munkaerő-fluktuáció jelentősen csökkentette a kutatáshasznosítási folyamatok hatékonyságá</w:t>
      </w:r>
      <w:r w:rsidR="006553DD" w:rsidRPr="002E52F1">
        <w:rPr>
          <w:rFonts w:ascii="Calibri" w:eastAsia="Times New Roman" w:hAnsi="Calibri" w:cs="Times New Roman"/>
          <w:lang w:val="hu-HU"/>
        </w:rPr>
        <w:t xml:space="preserve">t. Egyes egyetemeken a </w:t>
      </w:r>
      <w:r w:rsidRPr="002E52F1">
        <w:rPr>
          <w:rFonts w:ascii="Calibri" w:eastAsia="Times New Roman" w:hAnsi="Calibri" w:cs="Times New Roman"/>
          <w:lang w:val="hu-HU"/>
        </w:rPr>
        <w:t xml:space="preserve">2010-2017-es periódus alatt akár többször is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újraszerveződtek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a technológiatranszfer irodák az intézményen belül, a teljes szakembergárda cseréjével. Az európai uniós szakmai kezdeményezésekhez történő csatlakozás és a forrásokhoz történő hozzáférés alapfeltétele a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stabil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működés. Ezért javasoljuk, hogy a hazai stratégiákban felvázolt célok teljesülése érdekében az intézményi tudástranszfer szervezetek célzott állami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finanszírozást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kapjanak alaptevékenységeik hosszú távú ellátására, mely kötelezően elkülönül a belső intézményi költségvetésben.</w:t>
      </w:r>
    </w:p>
    <w:p w:rsidR="000A5672" w:rsidRPr="002E52F1" w:rsidRDefault="000A5672" w:rsidP="000A5672">
      <w:pPr>
        <w:spacing w:before="100" w:after="200"/>
        <w:ind w:left="720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BF3995" w:rsidRPr="002E52F1" w:rsidRDefault="00BF3995" w:rsidP="00BF3995">
      <w:pPr>
        <w:numPr>
          <w:ilvl w:val="0"/>
          <w:numId w:val="2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Általános tapasztalat a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közfinanszírozású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kutatóhelyeken, hogy az ígéretes kutatási eredményekben rejlő hasznosítási lehetőségek sok esetben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kiaknázatlanok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maradnak. A kutatási eredmények technológiai és piaci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validálása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ugyanakkor elengedhetetlen feltétele annak, hogy egy új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technológia hasznosító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partnereket vonzzon magához és ezáltal sikeres, a társadalom számára hasznos innovációvá válhasson. Javasoljuk egy hazai, </w:t>
      </w:r>
      <w:r w:rsidRPr="002E52F1">
        <w:rPr>
          <w:rFonts w:ascii="Calibri" w:eastAsia="Times New Roman" w:hAnsi="Calibri" w:cs="Times New Roman"/>
          <w:b/>
          <w:lang w:val="hu-HU"/>
        </w:rPr>
        <w:t xml:space="preserve">országos szintű </w:t>
      </w:r>
      <w:proofErr w:type="spellStart"/>
      <w:r w:rsidRPr="002E52F1">
        <w:rPr>
          <w:rFonts w:ascii="Calibri" w:eastAsia="Times New Roman" w:hAnsi="Calibri" w:cs="Times New Roman"/>
          <w:b/>
          <w:lang w:val="hu-HU"/>
        </w:rPr>
        <w:t>Proof</w:t>
      </w:r>
      <w:proofErr w:type="spellEnd"/>
      <w:r w:rsidRPr="002E52F1">
        <w:rPr>
          <w:rFonts w:ascii="Calibri" w:eastAsia="Times New Roman" w:hAnsi="Calibri" w:cs="Times New Roman"/>
          <w:b/>
          <w:lang w:val="hu-HU"/>
        </w:rPr>
        <w:t xml:space="preserve"> of </w:t>
      </w:r>
      <w:proofErr w:type="spellStart"/>
      <w:r w:rsidRPr="002E52F1">
        <w:rPr>
          <w:rFonts w:ascii="Calibri" w:eastAsia="Times New Roman" w:hAnsi="Calibri" w:cs="Times New Roman"/>
          <w:b/>
          <w:lang w:val="hu-HU"/>
        </w:rPr>
        <w:t>Concept</w:t>
      </w:r>
      <w:proofErr w:type="spellEnd"/>
      <w:r w:rsidRPr="002E52F1">
        <w:rPr>
          <w:rFonts w:ascii="Calibri" w:eastAsia="Times New Roman" w:hAnsi="Calibri" w:cs="Times New Roman"/>
          <w:b/>
          <w:lang w:val="hu-HU"/>
        </w:rPr>
        <w:t xml:space="preserve"> Alap</w:t>
      </w:r>
      <w:r w:rsidRPr="002E52F1">
        <w:rPr>
          <w:rFonts w:ascii="Calibri" w:eastAsia="Times New Roman" w:hAnsi="Calibri" w:cs="Times New Roman"/>
          <w:lang w:val="hu-HU"/>
        </w:rPr>
        <w:t xml:space="preserve"> létrehozását, mellyel hatékonyan áthidalható a kutatóhelyeken keletkezett szellemi alkotások hasznosítása során jelentkező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finanszírozási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rés.</w:t>
      </w:r>
    </w:p>
    <w:p w:rsidR="00BF3995" w:rsidRPr="002E52F1" w:rsidRDefault="00BF3995" w:rsidP="00BF3995">
      <w:pPr>
        <w:spacing w:before="100" w:after="200"/>
        <w:ind w:left="284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0A5672" w:rsidRDefault="000A5672" w:rsidP="000A5672">
      <w:pPr>
        <w:numPr>
          <w:ilvl w:val="0"/>
          <w:numId w:val="2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A sikeres kutatáshasznosítás elengedhetetlen feltétele az </w:t>
      </w:r>
      <w:r w:rsidRPr="002E52F1">
        <w:rPr>
          <w:rFonts w:ascii="Calibri" w:eastAsia="Times New Roman" w:hAnsi="Calibri" w:cs="Times New Roman"/>
          <w:b/>
          <w:lang w:val="hu-HU"/>
        </w:rPr>
        <w:t xml:space="preserve">iparjogvédelmi költségek </w:t>
      </w:r>
      <w:proofErr w:type="gramStart"/>
      <w:r w:rsidRPr="002E52F1">
        <w:rPr>
          <w:rFonts w:ascii="Calibri" w:eastAsia="Times New Roman" w:hAnsi="Calibri" w:cs="Times New Roman"/>
          <w:b/>
          <w:lang w:val="hu-HU"/>
        </w:rPr>
        <w:t>finanszírozása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. A szabadalmaztatás az intézmények részéről pénzügyi befektetés, melynek megtérülésére abban az esetben mutatkozik esély, ha a kutatóhelyek megfelelő méretű szellemitulajdon-portfoliót alakítanak ki. Az intézményekben keletkezett kutatási eredmények technológiai és üzleti szempontból korai fázisban vannak, ezért a </w:t>
      </w:r>
      <w:proofErr w:type="spellStart"/>
      <w:r w:rsidRPr="002E52F1">
        <w:rPr>
          <w:rFonts w:ascii="Calibri" w:eastAsia="Times New Roman" w:hAnsi="Calibri" w:cs="Times New Roman"/>
          <w:lang w:val="hu-HU"/>
        </w:rPr>
        <w:t>megtérüléshez</w:t>
      </w:r>
      <w:proofErr w:type="spellEnd"/>
      <w:r w:rsidRPr="002E52F1">
        <w:rPr>
          <w:rFonts w:ascii="Calibri" w:eastAsia="Times New Roman" w:hAnsi="Calibri" w:cs="Times New Roman"/>
          <w:lang w:val="hu-HU"/>
        </w:rPr>
        <w:t xml:space="preserve"> el kell érni a kritikus tömeget, melyhez jelentős költségek társulnak. Az iparjogvédelmi szabályok már az előkészítés szakaszától pontos, előrelátható határidőket határoznak meg az egyes eljárási szakaszok tekintetében, ezért – a szellemitulajdon-védelmi portfolió fenntartása érdekében – fontos, hogy az intézmények megfelelő időben jussanak forrásokhoz. Ezért javasoljuk a széles körben elérhető Iparjog pályázatok</w:t>
      </w:r>
      <w:r w:rsidR="006553DD" w:rsidRPr="002E52F1">
        <w:rPr>
          <w:rFonts w:ascii="Calibri" w:eastAsia="Times New Roman" w:hAnsi="Calibri" w:cs="Times New Roman"/>
          <w:lang w:val="hu-HU"/>
        </w:rPr>
        <w:t xml:space="preserve"> átalakítását: </w:t>
      </w:r>
      <w:r w:rsidRPr="002E52F1">
        <w:rPr>
          <w:rFonts w:ascii="Calibri" w:eastAsia="Times New Roman" w:hAnsi="Calibri" w:cs="Times New Roman"/>
          <w:lang w:val="hu-HU"/>
        </w:rPr>
        <w:t>célszerű lenne egy hatékony és gyors, akár „automatizált” támogatási rendszer kialakítása, ahol egyszeri intézményi regisztrációval, a szabadalmi bejelentés benyújtását követően egy egyszerűsített elszámolási sablon alapján lehetne visszaigényelni a szabadalmaztatásra fordított költségeket.</w:t>
      </w:r>
    </w:p>
    <w:p w:rsidR="002E52F1" w:rsidRPr="002E52F1" w:rsidRDefault="002E52F1" w:rsidP="002E52F1">
      <w:pPr>
        <w:spacing w:before="100" w:after="200"/>
        <w:ind w:left="284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67420D" w:rsidRPr="002E52F1" w:rsidRDefault="000A5672" w:rsidP="0067420D">
      <w:pPr>
        <w:numPr>
          <w:ilvl w:val="0"/>
          <w:numId w:val="2"/>
        </w:numPr>
        <w:spacing w:before="100" w:after="200"/>
        <w:ind w:left="284" w:hanging="284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 xml:space="preserve">Az új kutatási eredmények feltérképezésében meghatározó szerepet játszik a kutatók motiválása, érdekeltté tétele a kutatáshasznosítási folyamatokban. Az intézményi szellemitulajdon-kezelési szabályzatok mindegyikében találunk rendelkezést erről: ennek jellemző módja a hasznosításból származó bevételek előre meghatározott hányadának megosztása a feltalálókkal. A találmányi díjakat terhelő magas adó- és járulékfizetési kötelezettség ugyanakkor kedvezőtlenül hat a hasznosítási folyamatra és végső soron arra is ösztönözheti a kutatót, hogy bele se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kezdjen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 a jelentős szakmai hozzájárulást igénylő szabadalmaztatási eljárásba vagy esetenként az intézményen kívül keresse a hasznosítási lehetőséget. Ennek a </w:t>
      </w:r>
      <w:proofErr w:type="gramStart"/>
      <w:r w:rsidRPr="002E52F1">
        <w:rPr>
          <w:rFonts w:ascii="Calibri" w:eastAsia="Times New Roman" w:hAnsi="Calibri" w:cs="Times New Roman"/>
          <w:lang w:val="hu-HU"/>
        </w:rPr>
        <w:t>probléma</w:t>
      </w:r>
      <w:proofErr w:type="gramEnd"/>
      <w:r w:rsidRPr="002E52F1">
        <w:rPr>
          <w:rFonts w:ascii="Calibri" w:eastAsia="Times New Roman" w:hAnsi="Calibri" w:cs="Times New Roman"/>
          <w:lang w:val="hu-HU"/>
        </w:rPr>
        <w:t xml:space="preserve">körnek a megoldására, a kutatói motiváció növelése érdekében javasoljuk a </w:t>
      </w:r>
      <w:r w:rsidRPr="002E52F1">
        <w:rPr>
          <w:rFonts w:ascii="Calibri" w:eastAsia="Times New Roman" w:hAnsi="Calibri" w:cs="Times New Roman"/>
          <w:b/>
          <w:lang w:val="hu-HU"/>
        </w:rPr>
        <w:t>találmányi díjfizetés adókedvezményben történő részesítését</w:t>
      </w:r>
      <w:r w:rsidRPr="002E52F1">
        <w:rPr>
          <w:rFonts w:ascii="Calibri" w:eastAsia="Times New Roman" w:hAnsi="Calibri" w:cs="Times New Roman"/>
          <w:lang w:val="hu-HU"/>
        </w:rPr>
        <w:t>.</w:t>
      </w:r>
    </w:p>
    <w:p w:rsidR="002E52F1" w:rsidRPr="002E52F1" w:rsidRDefault="002E52F1" w:rsidP="00BF3995">
      <w:pPr>
        <w:rPr>
          <w:rFonts w:ascii="Calibri" w:eastAsia="Times New Roman" w:hAnsi="Calibri" w:cs="Times New Roman"/>
          <w:lang w:val="hu-HU"/>
        </w:rPr>
      </w:pPr>
    </w:p>
    <w:p w:rsidR="00F97A6D" w:rsidRDefault="00BF3995" w:rsidP="00BF3995">
      <w:pPr>
        <w:spacing w:before="100" w:after="200"/>
        <w:contextualSpacing/>
        <w:jc w:val="both"/>
        <w:rPr>
          <w:rFonts w:ascii="Calibri" w:eastAsia="Times New Roman" w:hAnsi="Calibri" w:cs="Times New Roman"/>
          <w:lang w:val="hu-HU"/>
        </w:rPr>
      </w:pPr>
      <w:r w:rsidRPr="002E52F1">
        <w:rPr>
          <w:rFonts w:ascii="Calibri" w:eastAsia="Times New Roman" w:hAnsi="Calibri" w:cs="Times New Roman"/>
          <w:lang w:val="hu-HU"/>
        </w:rPr>
        <w:t>Budapest, 2018. május 27.</w:t>
      </w:r>
    </w:p>
    <w:p w:rsidR="002E52F1" w:rsidRDefault="002E52F1" w:rsidP="00BF3995">
      <w:pPr>
        <w:spacing w:before="100" w:after="200"/>
        <w:contextualSpacing/>
        <w:jc w:val="both"/>
        <w:rPr>
          <w:rFonts w:ascii="Calibri" w:eastAsia="Times New Roman" w:hAnsi="Calibri" w:cs="Times New Roman"/>
          <w:lang w:val="hu-HU"/>
        </w:rPr>
      </w:pPr>
    </w:p>
    <w:p w:rsidR="002E52F1" w:rsidRPr="002E52F1" w:rsidRDefault="002E52F1" w:rsidP="00BF3995">
      <w:pPr>
        <w:spacing w:before="100" w:after="200"/>
        <w:contextualSpacing/>
        <w:jc w:val="both"/>
        <w:rPr>
          <w:rFonts w:ascii="Calibri" w:eastAsia="Times New Roman" w:hAnsi="Calibri" w:cs="Times New Roman"/>
          <w:lang w:val="hu-HU"/>
        </w:rPr>
      </w:pPr>
    </w:p>
    <w:sectPr w:rsidR="002E52F1" w:rsidRPr="002E52F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3C" w:rsidRDefault="00A6013C" w:rsidP="000A5672">
      <w:pPr>
        <w:spacing w:after="0" w:line="240" w:lineRule="auto"/>
      </w:pPr>
      <w:r>
        <w:separator/>
      </w:r>
    </w:p>
  </w:endnote>
  <w:endnote w:type="continuationSeparator" w:id="0">
    <w:p w:rsidR="00A6013C" w:rsidRDefault="00A6013C" w:rsidP="000A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3C" w:rsidRDefault="00A6013C" w:rsidP="000A5672">
      <w:pPr>
        <w:spacing w:after="0" w:line="240" w:lineRule="auto"/>
      </w:pPr>
      <w:r>
        <w:separator/>
      </w:r>
    </w:p>
  </w:footnote>
  <w:footnote w:type="continuationSeparator" w:id="0">
    <w:p w:rsidR="00A6013C" w:rsidRDefault="00A6013C" w:rsidP="000A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95" w:rsidRPr="00BF3995" w:rsidRDefault="002E52F1">
    <w:pPr>
      <w:pStyle w:val="lfej"/>
      <w:rPr>
        <w:lang w:val="hu-HU"/>
      </w:rPr>
    </w:pPr>
    <w:r w:rsidRPr="002E52F1">
      <w:rPr>
        <w:lang w:val="hu-HU"/>
      </w:rPr>
      <w:t>Egyetemi Technológia- és Tudástranszfer Fórum</w:t>
    </w:r>
    <w:r w:rsidR="00BF3995">
      <w:rPr>
        <w:lang w:val="hu-HU"/>
      </w:rPr>
      <w:tab/>
    </w:r>
    <w:r w:rsidR="00BF3995">
      <w:rPr>
        <w:lang w:val="hu-HU"/>
      </w:rPr>
      <w:tab/>
      <w:t>Szakmai javaslatok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B7E"/>
    <w:multiLevelType w:val="hybridMultilevel"/>
    <w:tmpl w:val="8AAEADC8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4191182"/>
    <w:multiLevelType w:val="hybridMultilevel"/>
    <w:tmpl w:val="F8CA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26FE5"/>
    <w:multiLevelType w:val="hybridMultilevel"/>
    <w:tmpl w:val="8714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2"/>
    <w:rsid w:val="000514F5"/>
    <w:rsid w:val="000A5672"/>
    <w:rsid w:val="00112FEF"/>
    <w:rsid w:val="0029714E"/>
    <w:rsid w:val="002E52F1"/>
    <w:rsid w:val="006553DD"/>
    <w:rsid w:val="0067420D"/>
    <w:rsid w:val="007A22E5"/>
    <w:rsid w:val="00866868"/>
    <w:rsid w:val="00A6013C"/>
    <w:rsid w:val="00A639B6"/>
    <w:rsid w:val="00BF3995"/>
    <w:rsid w:val="00C076E3"/>
    <w:rsid w:val="00DE6781"/>
    <w:rsid w:val="00F97A6D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81EF"/>
  <w15:chartTrackingRefBased/>
  <w15:docId w15:val="{6FA46B3E-2A41-4453-8245-23848DF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1">
    <w:name w:val="Char1 Char1"/>
    <w:basedOn w:val="Norml"/>
    <w:next w:val="Lbjegyzetszveg"/>
    <w:uiPriority w:val="99"/>
    <w:unhideWhenUsed/>
    <w:rsid w:val="000A5672"/>
    <w:pPr>
      <w:spacing w:after="0" w:line="240" w:lineRule="auto"/>
      <w:jc w:val="both"/>
    </w:pPr>
    <w:rPr>
      <w:sz w:val="20"/>
      <w:szCs w:val="20"/>
      <w:lang w:val="hu-HU"/>
    </w:rPr>
  </w:style>
  <w:style w:type="character" w:customStyle="1" w:styleId="LbjegyzetszvegChar">
    <w:name w:val="Lábjegyzetszöveg Char"/>
    <w:aliases w:val="Footnote Char,Char1 Char Char"/>
    <w:basedOn w:val="Bekezdsalapbettpusa"/>
    <w:uiPriority w:val="99"/>
    <w:rsid w:val="000A5672"/>
    <w:rPr>
      <w:sz w:val="20"/>
      <w:szCs w:val="20"/>
      <w:lang w:val="hu-HU"/>
    </w:rPr>
  </w:style>
  <w:style w:type="character" w:styleId="Lbjegyzet-hivatkozs">
    <w:name w:val="footnote reference"/>
    <w:aliases w:val="Footnote symbol,BVI fnr"/>
    <w:basedOn w:val="Bekezdsalapbettpusa"/>
    <w:unhideWhenUsed/>
    <w:rsid w:val="000A5672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A5672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A5672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0A567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4F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F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3995"/>
  </w:style>
  <w:style w:type="paragraph" w:styleId="llb">
    <w:name w:val="footer"/>
    <w:basedOn w:val="Norml"/>
    <w:link w:val="llbChar"/>
    <w:uiPriority w:val="99"/>
    <w:unhideWhenUsed/>
    <w:rsid w:val="00BF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Tamas</cp:lastModifiedBy>
  <cp:revision>3</cp:revision>
  <cp:lastPrinted>2018-05-24T06:02:00Z</cp:lastPrinted>
  <dcterms:created xsi:type="dcterms:W3CDTF">2018-05-27T20:32:00Z</dcterms:created>
  <dcterms:modified xsi:type="dcterms:W3CDTF">2018-05-27T20:45:00Z</dcterms:modified>
</cp:coreProperties>
</file>